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Bdr>
          <w:bottom w:val="single" w:sz="6" w:space="1" w:color="CCCCCC"/>
        </w:pBdr>
      </w:pPr>
    </w:p>
    <w:p>
      <w:pPr>
        <w:pStyle w:val="Heading2"/>
      </w:pPr>
      <w:r>
        <w:rPr>
          <w:rFonts w:ascii="台灣明體" w:hAnsi="台灣明體" w:eastAsia="台灣明體"/>
          <w:b/>
          <w:sz w:val="30"/>
        </w:rPr>
        <w:t>layout: default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   body {</w:t>
        <w:br/>
        <w:br/>
        <w:t xml:space="preserve">    }</w:t>
        <w:br/>
        <w:t xml:space="preserve">    p.big {</w:t>
        <w:br/>
        <w:t xml:space="preserve">      line-height: 3;</w:t>
        <w:br/>
        <w:t xml:space="preserve">      font-size: x-large;</w:t>
        <w:br/>
        <w:t xml:space="preserve">    }</w:t>
        <w:br/>
        <w:t xml:space="preserve">    p {</w:t>
        <w:br/>
        <w:t xml:space="preserve">      font-size: 1.5em;</w:t>
        <w:br/>
        <w:t xml:space="preserve">    }</w:t>
        <w:br/>
        <w:t xml:space="preserve">    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原文</w:t>
      </w:r>
    </w:p>
    <w:p>
      <w:r>
        <w:rPr>
          <w:rFonts w:ascii="台灣明體" w:hAnsi="台灣明體" w:eastAsia="台灣明體"/>
          <w:b w:val="0"/>
          <w:sz w:val="26"/>
        </w:rPr>
        <w:t>聖人以治天下為事者也，必知亂之所自起，焉能治之，不知亂之所自起，則不能治。譬之如醫之攻人之疾者然，必知疾之所自起，焉能攻之；不知疾之所自起，則弗能攻。治亂者何獨不然，必知亂之所自起，焉能治之；不知亂之所自起，則弗能治。聖人以治天下為事者也，不可不察亂之所自起。</w:t>
        <w:br/>
        <w:t>當察亂何自起？起不相愛。臣子之不孝君父，所謂亂也。子自愛不愛父，故虧父而自利；弟自愛不愛兄，故虧兄而自利；臣自愛不愛君，故虧君而自利，此所謂亂也。</w:t>
      </w:r>
    </w:p>
    <w:p>
      <w:r>
        <w:rPr>
          <w:rFonts w:ascii="台灣明體" w:hAnsi="台灣明體" w:eastAsia="台灣明體"/>
          <w:b w:val="0"/>
          <w:sz w:val="26"/>
        </w:rPr>
        <w:t>雖父之不慈子，兄之不慈弟，君之不慈臣，此亦天下之所謂亂也。父自愛也，不愛子，故虧子而自利；兄自愛也，不愛弟，故虧弟而自利；君自愛也，不愛臣，故虧臣而自利。是何也？皆起不相愛。</w:t>
      </w:r>
    </w:p>
    <w:p>
      <w:r>
        <w:rPr>
          <w:rFonts w:ascii="台灣明體" w:hAnsi="台灣明體" w:eastAsia="台灣明體"/>
          <w:b w:val="0"/>
          <w:sz w:val="26"/>
        </w:rPr>
        <w:t>雖至天下之為盜賊者亦然，盜愛其室，不愛其異室，故竊異室以利其室；賊愛其身，不愛人身，故賊人身以利其身。此何也？皆起不相愛。</w:t>
      </w:r>
    </w:p>
    <w:p>
      <w:r>
        <w:rPr>
          <w:rFonts w:ascii="台灣明體" w:hAnsi="台灣明體" w:eastAsia="台灣明體"/>
          <w:b w:val="0"/>
          <w:sz w:val="26"/>
        </w:rPr>
        <w:t>雖至大夫之相亂家，諸侯之相攻國者亦然。大夫各愛其家，不愛異家，故亂異家以利其家；諸侯各愛其國，不愛異國，故攻異國以利其國，天下之亂物具此而已矣。察此何自起？皆起不相愛。</w:t>
      </w:r>
    </w:p>
    <w:p>
      <w:r>
        <w:rPr>
          <w:rFonts w:ascii="台灣明體" w:hAnsi="台灣明體" w:eastAsia="台灣明體"/>
          <w:b w:val="0"/>
          <w:sz w:val="26"/>
        </w:rPr>
        <w:t>若使天下兼相愛，愛人若愛其身，猶有不孝者乎？視父兄與君若其身，惡施不孝？猶有不慈者乎？視弟子與臣若其身，惡施不慈？故不孝不慈亡有。猶有盜賊乎？視人之室若其室，誰竊？視人身若其身，誰賊？故盜賊亡有。猶有大夫之相亂家、諸侯之相攻國者乎？視人家若其家，誰亂？視人國若其國，誰攻？故大夫之相亂家、諸侯之相攻國者亡有。</w:t>
      </w:r>
    </w:p>
    <w:p>
      <w:r>
        <w:rPr>
          <w:rFonts w:ascii="台灣明體" w:hAnsi="台灣明體" w:eastAsia="台灣明體"/>
          <w:b w:val="0"/>
          <w:sz w:val="26"/>
        </w:rPr>
        <w:t>若使天下兼相愛，國與國不相攻，家與家不相亂，盜賊無有，君臣父子皆能孝慈，若此則天下治。故聖人以治天下為事者，惡得不禁惡而勸愛？故天下兼相愛則治，交相惡則亂。故子墨子曰「不可以不勸愛人」者，此也。</w:t>
      </w:r>
    </w:p>
    <w:p>
      <w:pPr>
        <w:pStyle w:val="Heading1"/>
      </w:pPr>
      <w:r>
        <w:rPr>
          <w:rFonts w:ascii="台灣明體" w:hAnsi="台灣明體" w:eastAsia="台灣明體"/>
          <w:b/>
          <w:sz w:val="34"/>
        </w:rPr>
        <w:t>翻譯與文法說明</w:t>
      </w:r>
    </w:p>
    <w:p>
      <w:r>
        <w:rPr>
          <w:rFonts w:ascii="台灣明體" w:hAnsi="台灣明體" w:eastAsia="台灣明體"/>
          <w:b w:val="0"/>
          <w:sz w:val="26"/>
        </w:rPr>
        <w:t>目錄</w:t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